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LV-C[C7]-I[7-2-i-] Security and stability of energy supply, and synchronisation with the Union grid</w:t>
      </w:r>
    </w:p>
    <w:p w:rsidR="00DC6807" w:rsidRPr="00905B9C" w:rsidP="01BD11D8" w14:paraId="4C22E5B9" w14:textId="470FD0EC">
      <w:pPr>
        <w:jc w:val="right"/>
        <w:rPr>
          <w:b/>
          <w:bCs/>
          <w:highlight w:val="cyan"/>
          <w:lang w:val="fr-BE"/>
        </w:rPr>
      </w:pPr>
      <w:r w:rsidRPr="00905B9C" w:rsidR="005B3C6E">
        <w:rPr>
          <w:b/>
          <w:bCs/>
          <w:lang w:val="fr-BE"/>
        </w:rPr>
        <w:t>LV-C[C7]-I[7-2-i-]-M[220] Contracts for the installation of a 60 MW Battery Energy Storage System and an IT solution for transmission network management</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Q2 2025</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 of this investment is to increase the security and stability of energy supply, and to support the synchronisation of the national electricity grid with the Continental Europe electricity networks. The investment shall result in: i) the installation of a 60 MW Battery Energy Storage System in Rēzekne; ii) the implementation of a cybersecurity solution for critical energy transmission infrastructure; iii) the development of a concept, and the purchase and installation of software solutions, for the smart management of renewable electricity connections to the national electricity transmission grid. The investment is expected to be implemented by the national transmission system operator. The activity under point iii) is expected to be implemented in cooperation with the national distribution system operator, as well as with Estonian and Lithuanian transmission system operators. The implementation of the measure shall be completed by 31 December 2025</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220</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C7.7-2-i- Security and stability of energy supply, and synchronisation with the Union grid</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Milestone</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Contracts for the installation of a 60 MW Battery Energy Storage System and an IT solution for transmission network management</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r w:rsidRPr="008777FB">
              <w:rPr>
                <w:lang w:val="it-IT"/>
              </w:rPr>
              <w:t>Contracts awarded</w:t>
            </w: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Q2</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2025</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Climate and Energy</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Awarded contracts for the installation of a 60 MW Battery Energy Storage System in Rēzekne and an IT solution for transmission network management.</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milestone (including all the constitutive elements, as listed in the description of the milestone and of the corresponding measure in the CID annex) was satisfactorily fulfilled, with appropriate links to the underlying evidence. This document shall include as an annex a copy of the awarded contracts.</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